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7A" w:rsidRPr="00DB3529" w:rsidRDefault="00DB3529" w:rsidP="00BA457A">
      <w:pPr>
        <w:spacing w:after="0" w:line="240" w:lineRule="auto"/>
        <w:rPr>
          <w:rFonts w:ascii="Arial" w:hAnsi="Arial" w:cs="Arial"/>
          <w:b/>
        </w:rPr>
      </w:pPr>
      <w:bookmarkStart w:id="0" w:name="_GoBack"/>
      <w:r w:rsidRPr="00DB3529">
        <w:rPr>
          <w:rFonts w:ascii="Arial" w:hAnsi="Arial" w:cs="Arial"/>
          <w:b/>
        </w:rPr>
        <w:t>Die Gremien der Duisburg Kontor Hallenmanagement GmbH</w:t>
      </w:r>
    </w:p>
    <w:bookmarkEnd w:id="0"/>
    <w:p w:rsidR="00DB3529" w:rsidRPr="00BA457A" w:rsidRDefault="00DB3529" w:rsidP="00BA457A">
      <w:pPr>
        <w:spacing w:after="0" w:line="240" w:lineRule="auto"/>
        <w:rPr>
          <w:rFonts w:ascii="Arial" w:hAnsi="Arial" w:cs="Arial"/>
        </w:rPr>
      </w:pPr>
    </w:p>
    <w:p w:rsidR="00BA457A" w:rsidRPr="00BA457A" w:rsidRDefault="00DB3529" w:rsidP="00BA45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beratender Funktion sind die Gremien des Arbeitskreises Landschaftspark Duisburg-Nord und des Tourismusbeirats für die Duisburg Kontor Hallenmanagement GmbH zuständig.</w:t>
      </w:r>
    </w:p>
    <w:sectPr w:rsidR="00BA457A" w:rsidRPr="00BA45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57A"/>
    <w:rsid w:val="0086253E"/>
    <w:rsid w:val="00BA457A"/>
    <w:rsid w:val="00DB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Koetteritzsch</dc:creator>
  <cp:lastModifiedBy>Patrick Koetteritzsch</cp:lastModifiedBy>
  <cp:revision>2</cp:revision>
  <dcterms:created xsi:type="dcterms:W3CDTF">2015-12-16T15:29:00Z</dcterms:created>
  <dcterms:modified xsi:type="dcterms:W3CDTF">2015-12-16T15:29:00Z</dcterms:modified>
</cp:coreProperties>
</file>